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32101E">
        <w:rPr>
          <w:color w:val="auto"/>
          <w:sz w:val="28"/>
        </w:rPr>
        <w:t>148</w:t>
      </w:r>
      <w:r w:rsidR="00B25495">
        <w:rPr>
          <w:color w:val="auto"/>
          <w:sz w:val="28"/>
        </w:rPr>
        <w:t>-2202</w:t>
      </w:r>
      <w:r w:rsidR="0032101E">
        <w:rPr>
          <w:color w:val="auto"/>
          <w:sz w:val="28"/>
        </w:rPr>
        <w:t>/2025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32101E" w:rsidR="0032101E">
        <w:rPr>
          <w:color w:val="auto"/>
          <w:sz w:val="28"/>
        </w:rPr>
        <w:t>86MS0010-01-2025-000102-47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32101E">
        <w:rPr>
          <w:sz w:val="28"/>
        </w:rPr>
        <w:t>24 февраля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32101E">
        <w:rPr>
          <w:sz w:val="28"/>
        </w:rPr>
        <w:t>Гаршина Дениса Николаевича</w:t>
      </w:r>
      <w:r w:rsidR="008C5365">
        <w:rPr>
          <w:sz w:val="28"/>
        </w:rPr>
        <w:t xml:space="preserve">, </w:t>
      </w:r>
      <w:r w:rsidR="00827EFF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827EFF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9534DB">
        <w:rPr>
          <w:sz w:val="28"/>
        </w:rPr>
        <w:t xml:space="preserve">паспорт </w:t>
      </w:r>
      <w:r w:rsidR="00827EFF">
        <w:rPr>
          <w:sz w:val="28"/>
        </w:rPr>
        <w:t>*</w:t>
      </w:r>
      <w:r w:rsidR="00FD1962">
        <w:rPr>
          <w:sz w:val="28"/>
        </w:rPr>
        <w:t>,</w:t>
      </w:r>
      <w:r w:rsidRPr="006316C8" w:rsidR="006316C8">
        <w:rPr>
          <w:sz w:val="28"/>
        </w:rPr>
        <w:t xml:space="preserve"> зарегистрированного</w:t>
      </w:r>
      <w:r w:rsidR="004F771D">
        <w:rPr>
          <w:sz w:val="28"/>
        </w:rPr>
        <w:t xml:space="preserve"> и</w:t>
      </w:r>
      <w:r w:rsidRPr="006316C8" w:rsidR="006316C8">
        <w:rPr>
          <w:sz w:val="28"/>
        </w:rPr>
        <w:t xml:space="preserve"> </w:t>
      </w:r>
      <w:r w:rsidRPr="006316C8" w:rsidR="004F771D">
        <w:rPr>
          <w:sz w:val="28"/>
        </w:rPr>
        <w:t xml:space="preserve">проживающего </w:t>
      </w:r>
      <w:r w:rsidRPr="006316C8" w:rsidR="00A72072">
        <w:rPr>
          <w:sz w:val="28"/>
        </w:rPr>
        <w:t xml:space="preserve">по адресу: ХМАО-Югра </w:t>
      </w:r>
      <w:r w:rsidR="00827EFF">
        <w:rPr>
          <w:sz w:val="28"/>
        </w:rPr>
        <w:t>*</w:t>
      </w:r>
      <w:r w:rsidR="00A72072">
        <w:rPr>
          <w:sz w:val="28"/>
        </w:rPr>
        <w:t>,</w:t>
      </w:r>
      <w:r w:rsidRPr="006316C8" w:rsidR="006316C8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27.12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315E75">
        <w:rPr>
          <w:sz w:val="28"/>
        </w:rPr>
        <w:t xml:space="preserve"> 14</w:t>
      </w:r>
      <w:r w:rsidR="00A01454">
        <w:rPr>
          <w:sz w:val="28"/>
        </w:rPr>
        <w:t xml:space="preserve"> часов </w:t>
      </w:r>
      <w:r>
        <w:rPr>
          <w:sz w:val="28"/>
        </w:rPr>
        <w:t>5</w:t>
      </w:r>
      <w:r w:rsidR="00315E75">
        <w:rPr>
          <w:sz w:val="28"/>
        </w:rPr>
        <w:t>0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38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99414E">
        <w:rPr>
          <w:sz w:val="28"/>
        </w:rPr>
        <w:t xml:space="preserve">Нягань-Талинка Октябрьского района ХМАО-Югры </w:t>
      </w:r>
      <w:r>
        <w:rPr>
          <w:sz w:val="28"/>
        </w:rPr>
        <w:t>Гаршин Д.Н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827EFF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32101E" w:rsidRPr="009534DB" w:rsidP="0032101E">
      <w:pPr>
        <w:pStyle w:val="BodyText"/>
        <w:ind w:left="-142" w:right="282" w:firstLine="708"/>
        <w:rPr>
          <w:sz w:val="28"/>
        </w:rPr>
      </w:pPr>
      <w:r w:rsidRPr="009534DB">
        <w:rPr>
          <w:sz w:val="28"/>
        </w:rPr>
        <w:t>Гаршин Д.Н. в судебном заседании с протоколом согласился, вину признал.</w:t>
      </w:r>
    </w:p>
    <w:p w:rsidR="00B25495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Выслушав </w:t>
      </w:r>
      <w:r>
        <w:rPr>
          <w:sz w:val="28"/>
        </w:rPr>
        <w:t>Гаршина Д.Н</w:t>
      </w:r>
      <w:r>
        <w:rPr>
          <w:color w:val="auto"/>
          <w:sz w:val="28"/>
          <w:szCs w:val="28"/>
        </w:rPr>
        <w:t>., и</w:t>
      </w:r>
      <w:r w:rsidRPr="00B25495">
        <w:rPr>
          <w:color w:val="auto"/>
          <w:sz w:val="28"/>
          <w:szCs w:val="28"/>
        </w:rPr>
        <w:t>сследовав ма</w:t>
      </w:r>
      <w:r w:rsidRPr="00B25495">
        <w:rPr>
          <w:color w:val="auto"/>
          <w:sz w:val="28"/>
          <w:szCs w:val="28"/>
        </w:rPr>
        <w:t>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</w:t>
      </w:r>
      <w:r>
        <w:rPr>
          <w:sz w:val="28"/>
        </w:rPr>
        <w:t xml:space="preserve">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</w:t>
      </w:r>
      <w:r>
        <w:rPr>
          <w:sz w:val="28"/>
        </w:rPr>
        <w:t>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</w:t>
      </w:r>
      <w:r>
        <w:rPr>
          <w:sz w:val="28"/>
        </w:rPr>
        <w:t xml:space="preserve">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</w:t>
      </w:r>
      <w:r>
        <w:rPr>
          <w:sz w:val="28"/>
        </w:rPr>
        <w:t xml:space="preserve">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</w:t>
      </w:r>
      <w:r>
        <w:rPr>
          <w:sz w:val="28"/>
        </w:rPr>
        <w:t>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</w:t>
      </w:r>
      <w:r>
        <w:rPr>
          <w:sz w:val="28"/>
        </w:rPr>
        <w:t>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32101E">
        <w:rPr>
          <w:sz w:val="28"/>
        </w:rPr>
        <w:t>Гаршине Д.Н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</w:t>
      </w:r>
      <w:r>
        <w:rPr>
          <w:sz w:val="28"/>
        </w:rPr>
        <w:t>м управляемого им транспортного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32101E">
        <w:rPr>
          <w:sz w:val="28"/>
        </w:rPr>
        <w:t>Гаршина Д.Н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</w:t>
      </w:r>
      <w:r>
        <w:rPr>
          <w:sz w:val="28"/>
        </w:rPr>
        <w:t>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32101E">
        <w:rPr>
          <w:sz w:val="28"/>
        </w:rPr>
        <w:t>604509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32101E">
        <w:rPr>
          <w:sz w:val="28"/>
        </w:rPr>
        <w:t>27.12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32101E">
        <w:rPr>
          <w:sz w:val="28"/>
        </w:rPr>
        <w:t>Гаршиным Д.Н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 xml:space="preserve">- схемой места совершения </w:t>
      </w:r>
      <w:r w:rsidRPr="001D47F1">
        <w:rPr>
          <w:sz w:val="28"/>
        </w:rPr>
        <w:t>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32101E">
        <w:rPr>
          <w:sz w:val="28"/>
        </w:rPr>
        <w:t>17</w:t>
      </w:r>
      <w:r w:rsidR="006316C8">
        <w:rPr>
          <w:sz w:val="28"/>
        </w:rPr>
        <w:t>.</w:t>
      </w:r>
      <w:r w:rsidR="0032101E">
        <w:rPr>
          <w:sz w:val="28"/>
        </w:rPr>
        <w:t>12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32101E">
        <w:rPr>
          <w:sz w:val="28"/>
        </w:rPr>
        <w:t>Гаршина Д.Н</w:t>
      </w:r>
      <w:r w:rsidRPr="001D47F1">
        <w:rPr>
          <w:sz w:val="28"/>
        </w:rPr>
        <w:t xml:space="preserve">., со схемой </w:t>
      </w:r>
      <w:r w:rsidR="00E02575">
        <w:rPr>
          <w:sz w:val="28"/>
        </w:rPr>
        <w:t>привлекаемое лицо</w:t>
      </w:r>
      <w:r w:rsidR="006316C8">
        <w:rPr>
          <w:sz w:val="28"/>
        </w:rPr>
        <w:t xml:space="preserve"> </w:t>
      </w:r>
      <w:r w:rsidR="003833B1">
        <w:rPr>
          <w:sz w:val="28"/>
        </w:rPr>
        <w:t>ознакомлено под роспись,</w:t>
      </w:r>
      <w:r w:rsidR="00E02575">
        <w:rPr>
          <w:sz w:val="28"/>
        </w:rPr>
        <w:t xml:space="preserve"> замечаний не поступало</w:t>
      </w:r>
      <w:r w:rsidRPr="001D47F1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>дислокацией дорожных знаков и дорожной разметки на автомобильной дороге н</w:t>
      </w:r>
      <w:r w:rsidRPr="00CE1A26">
        <w:rPr>
          <w:sz w:val="28"/>
        </w:rPr>
        <w:t xml:space="preserve">а </w:t>
      </w:r>
      <w:r w:rsidR="0032101E">
        <w:rPr>
          <w:sz w:val="28"/>
        </w:rPr>
        <w:t>36-39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>
        <w:rPr>
          <w:sz w:val="28"/>
        </w:rPr>
        <w:t>Нягань-Талинка;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827EFF">
        <w:rPr>
          <w:sz w:val="28"/>
          <w:szCs w:val="28"/>
        </w:rPr>
        <w:t>*</w:t>
      </w:r>
      <w:r w:rsidR="00315E7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3833B1">
        <w:rPr>
          <w:sz w:val="28"/>
        </w:rPr>
        <w:t xml:space="preserve"> </w:t>
      </w:r>
      <w:r w:rsidRPr="0003286E" w:rsidR="0003286E">
        <w:rPr>
          <w:sz w:val="28"/>
        </w:rPr>
        <w:t>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</w:t>
      </w:r>
      <w:r w:rsidRPr="006D3E25">
        <w:rPr>
          <w:sz w:val="28"/>
          <w:szCs w:val="28"/>
        </w:rPr>
        <w:t>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3833B1" w:rsidRPr="003833B1" w:rsidP="00FD1962">
      <w:pPr>
        <w:autoSpaceDE w:val="0"/>
        <w:autoSpaceDN w:val="0"/>
        <w:adjustRightInd w:val="0"/>
        <w:ind w:right="113" w:firstLine="708"/>
        <w:jc w:val="both"/>
        <w:rPr>
          <w:color w:val="auto"/>
          <w:sz w:val="28"/>
        </w:rPr>
      </w:pPr>
      <w:r w:rsidRPr="003833B1">
        <w:rPr>
          <w:color w:val="auto"/>
          <w:sz w:val="28"/>
        </w:rPr>
        <w:t xml:space="preserve">К смягчающим обстоятельствам мировой судья относит признание Гаршиным Д.Н. своей </w:t>
      </w:r>
      <w:r w:rsidRPr="003833B1">
        <w:rPr>
          <w:color w:val="auto"/>
          <w:sz w:val="28"/>
        </w:rPr>
        <w:t>вины, занятость.</w:t>
      </w:r>
    </w:p>
    <w:p w:rsidR="00737394" w:rsidRPr="003833B1" w:rsidP="00FD1962">
      <w:pPr>
        <w:autoSpaceDE w:val="0"/>
        <w:autoSpaceDN w:val="0"/>
        <w:adjustRightInd w:val="0"/>
        <w:ind w:right="113" w:firstLine="708"/>
        <w:jc w:val="both"/>
        <w:rPr>
          <w:color w:val="auto"/>
          <w:sz w:val="28"/>
        </w:rPr>
      </w:pPr>
      <w:r w:rsidRPr="003833B1">
        <w:rPr>
          <w:color w:val="auto"/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3833B1">
        <w:rPr>
          <w:color w:val="auto"/>
          <w:sz w:val="28"/>
          <w:szCs w:val="28"/>
        </w:rPr>
        <w:t xml:space="preserve">При назначении наказания </w:t>
      </w:r>
      <w:r w:rsidRPr="003833B1" w:rsidR="0032101E">
        <w:rPr>
          <w:color w:val="auto"/>
          <w:sz w:val="28"/>
        </w:rPr>
        <w:t xml:space="preserve">Гаршину </w:t>
      </w:r>
      <w:r w:rsidR="0032101E">
        <w:rPr>
          <w:sz w:val="28"/>
        </w:rPr>
        <w:t>Д.Н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не усматривая оснований для назначения административного наказания </w:t>
      </w:r>
      <w:r w:rsidRPr="007066CB">
        <w:rPr>
          <w:sz w:val="28"/>
          <w:szCs w:val="28"/>
        </w:rPr>
        <w:t>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Гаршина Дениса Николаевича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</w:t>
      </w:r>
      <w:r w:rsidRPr="006B4476">
        <w:rPr>
          <w:sz w:val="28"/>
        </w:rPr>
        <w:t xml:space="preserve">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</w:t>
      </w:r>
      <w:r w:rsidRPr="006B4476">
        <w:rPr>
          <w:sz w:val="28"/>
        </w:rPr>
        <w:t>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Pr="005F5CEF" w:rsidR="006E6DF5">
        <w:rPr>
          <w:color w:val="auto"/>
          <w:sz w:val="28"/>
        </w:rPr>
        <w:t>21000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18810486240</w:t>
      </w:r>
      <w:r w:rsidRPr="005F5CEF" w:rsidR="0003286E">
        <w:rPr>
          <w:color w:val="auto"/>
          <w:sz w:val="28"/>
        </w:rPr>
        <w:t>3</w:t>
      </w:r>
      <w:r w:rsidRPr="005F5CEF" w:rsidR="00D65093">
        <w:rPr>
          <w:color w:val="auto"/>
          <w:sz w:val="28"/>
        </w:rPr>
        <w:t>000</w:t>
      </w:r>
      <w:r w:rsidRPr="005F5CEF" w:rsidR="0003286E">
        <w:rPr>
          <w:color w:val="auto"/>
          <w:sz w:val="28"/>
        </w:rPr>
        <w:t>0</w:t>
      </w:r>
      <w:r w:rsidR="0032101E">
        <w:rPr>
          <w:color w:val="auto"/>
          <w:sz w:val="28"/>
        </w:rPr>
        <w:t>5350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 w:rsidR="00FD1962">
        <w:rPr>
          <w:sz w:val="28"/>
        </w:rPr>
        <w:t>а</w:t>
      </w:r>
      <w:r>
        <w:rPr>
          <w:color w:val="22272F"/>
          <w:sz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color w:val="22272F"/>
          <w:sz w:val="28"/>
        </w:rPr>
        <w:t xml:space="preserve">тидесяти дней со дня вступления постановления о наложении </w:t>
      </w:r>
      <w:r>
        <w:rPr>
          <w:color w:val="22272F"/>
          <w:sz w:val="28"/>
        </w:rPr>
        <w:t>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</w:t>
      </w:r>
      <w:r w:rsidRPr="006B4476">
        <w:rPr>
          <w:color w:val="auto"/>
          <w:sz w:val="28"/>
        </w:rPr>
        <w:t>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EC6EF1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</w:t>
      </w:r>
      <w:r w:rsidRPr="006B4476">
        <w:rPr>
          <w:color w:val="auto"/>
          <w:sz w:val="28"/>
        </w:rPr>
        <w:t>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>нным к административной ответственности за совершение администрат</w:t>
      </w:r>
      <w:r>
        <w:rPr>
          <w:rFonts w:ascii="Roboto" w:hAnsi="Roboto"/>
          <w:sz w:val="28"/>
        </w:rPr>
        <w:t xml:space="preserve">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</w:t>
        </w:r>
        <w:r>
          <w:rPr>
            <w:rStyle w:val="Hyperlink"/>
            <w:rFonts w:ascii="Roboto" w:hAnsi="Roboto"/>
            <w:sz w:val="28"/>
            <w:u w:val="none"/>
          </w:rPr>
          <w:t>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</w:t>
      </w:r>
      <w:r>
        <w:rPr>
          <w:rFonts w:ascii="Roboto" w:hAnsi="Roboto"/>
          <w:sz w:val="28"/>
        </w:rPr>
        <w:t xml:space="preserve">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</w:t>
      </w:r>
      <w:r>
        <w:rPr>
          <w:rFonts w:ascii="Roboto" w:hAnsi="Roboto"/>
          <w:sz w:val="28"/>
        </w:rPr>
        <w:t>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</w:t>
      </w:r>
      <w:r>
        <w:rPr>
          <w:rFonts w:ascii="Roboto" w:hAnsi="Roboto"/>
          <w:sz w:val="28"/>
        </w:rPr>
        <w:t xml:space="preserve">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</w:t>
      </w:r>
      <w:r>
        <w:rPr>
          <w:rFonts w:ascii="Roboto" w:hAnsi="Roboto"/>
          <w:sz w:val="28"/>
        </w:rPr>
        <w:t>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</w:t>
      </w:r>
      <w:r>
        <w:rPr>
          <w:sz w:val="28"/>
        </w:rPr>
        <w:t xml:space="preserve">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</w:t>
      </w:r>
      <w:r>
        <w:rPr>
          <w:sz w:val="28"/>
        </w:rPr>
        <w:t>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</w:t>
      </w:r>
      <w:r>
        <w:rPr>
          <w:sz w:val="28"/>
        </w:rPr>
        <w:t xml:space="preserve">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315E75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C76AE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2575">
      <w:footerReference w:type="default" r:id="rId19"/>
      <w:pgSz w:w="11906" w:h="16838"/>
      <w:pgMar w:top="1418" w:right="851" w:bottom="1418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827EFF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36FB2"/>
    <w:rsid w:val="000621FA"/>
    <w:rsid w:val="000A63CD"/>
    <w:rsid w:val="000B5CDA"/>
    <w:rsid w:val="00100696"/>
    <w:rsid w:val="00110FBF"/>
    <w:rsid w:val="00161CAF"/>
    <w:rsid w:val="00192B78"/>
    <w:rsid w:val="001D47F1"/>
    <w:rsid w:val="001E7AD4"/>
    <w:rsid w:val="001F7ACC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15E75"/>
    <w:rsid w:val="0032101E"/>
    <w:rsid w:val="00342B1C"/>
    <w:rsid w:val="003833B1"/>
    <w:rsid w:val="003C2B0F"/>
    <w:rsid w:val="0043474D"/>
    <w:rsid w:val="00493A20"/>
    <w:rsid w:val="004B189E"/>
    <w:rsid w:val="004B1D8C"/>
    <w:rsid w:val="004D1EA7"/>
    <w:rsid w:val="004F771D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802A99"/>
    <w:rsid w:val="00815007"/>
    <w:rsid w:val="00827E27"/>
    <w:rsid w:val="00827EFF"/>
    <w:rsid w:val="008834C1"/>
    <w:rsid w:val="008C05F7"/>
    <w:rsid w:val="008C5365"/>
    <w:rsid w:val="008F329C"/>
    <w:rsid w:val="008F4BDD"/>
    <w:rsid w:val="00906DB8"/>
    <w:rsid w:val="00931571"/>
    <w:rsid w:val="009534DB"/>
    <w:rsid w:val="0099414E"/>
    <w:rsid w:val="009C2595"/>
    <w:rsid w:val="00A01454"/>
    <w:rsid w:val="00A063A2"/>
    <w:rsid w:val="00A272E0"/>
    <w:rsid w:val="00A60E5F"/>
    <w:rsid w:val="00A72072"/>
    <w:rsid w:val="00A845E1"/>
    <w:rsid w:val="00A972BE"/>
    <w:rsid w:val="00B25495"/>
    <w:rsid w:val="00B45D2A"/>
    <w:rsid w:val="00B51BCD"/>
    <w:rsid w:val="00B654E2"/>
    <w:rsid w:val="00BB6F52"/>
    <w:rsid w:val="00C15876"/>
    <w:rsid w:val="00C614DF"/>
    <w:rsid w:val="00CB28AE"/>
    <w:rsid w:val="00CE1A26"/>
    <w:rsid w:val="00CE699E"/>
    <w:rsid w:val="00CE69ED"/>
    <w:rsid w:val="00CE7607"/>
    <w:rsid w:val="00D65093"/>
    <w:rsid w:val="00D81452"/>
    <w:rsid w:val="00D81710"/>
    <w:rsid w:val="00D96C9D"/>
    <w:rsid w:val="00DB30BE"/>
    <w:rsid w:val="00DC3D0D"/>
    <w:rsid w:val="00DE3A49"/>
    <w:rsid w:val="00E02575"/>
    <w:rsid w:val="00E06DF1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C76AE"/>
    <w:rsid w:val="00FD1962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